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Enkelt2"/>
        <w:tblW w:w="9555" w:type="dxa"/>
        <w:tblLook w:val="0000" w:firstRow="0" w:lastRow="0" w:firstColumn="0" w:lastColumn="0" w:noHBand="0" w:noVBand="0"/>
      </w:tblPr>
      <w:tblGrid>
        <w:gridCol w:w="6609"/>
        <w:gridCol w:w="2946"/>
      </w:tblGrid>
      <w:tr w:rsidR="004B39AD" w:rsidRPr="00B05019" w14:paraId="46D6A27F" w14:textId="77777777" w:rsidTr="009522ED">
        <w:trPr>
          <w:trHeight w:val="1051"/>
        </w:trPr>
        <w:tc>
          <w:tcPr>
            <w:tcW w:w="6734" w:type="dxa"/>
          </w:tcPr>
          <w:p w14:paraId="3AF3C9E8" w14:textId="77777777" w:rsidR="004B39AD" w:rsidRPr="00B05019" w:rsidRDefault="004B39AD" w:rsidP="009522ED"/>
        </w:tc>
        <w:tc>
          <w:tcPr>
            <w:tcW w:w="2821" w:type="dxa"/>
          </w:tcPr>
          <w:p w14:paraId="35959735" w14:textId="77777777" w:rsidR="004B39AD" w:rsidRPr="00B05019" w:rsidRDefault="004B39AD" w:rsidP="009522ED">
            <w:pPr>
              <w:pStyle w:val="Afsender"/>
              <w:jc w:val="right"/>
              <w:rPr>
                <w:rFonts w:ascii="Open Sans" w:hAnsi="Open Sans"/>
                <w:sz w:val="20"/>
              </w:rPr>
            </w:pPr>
            <w:r w:rsidRPr="00B05019">
              <w:rPr>
                <w:rFonts w:ascii="Open Sans" w:hAnsi="Open Sans"/>
                <w:noProof/>
                <w:sz w:val="20"/>
              </w:rPr>
              <w:drawing>
                <wp:anchor distT="0" distB="0" distL="114300" distR="114300" simplePos="0" relativeHeight="251659264" behindDoc="0" locked="0" layoutInCell="1" allowOverlap="1" wp14:anchorId="544A05A6" wp14:editId="36C78FA4">
                  <wp:simplePos x="0" y="0"/>
                  <wp:positionH relativeFrom="margin">
                    <wp:posOffset>28575</wp:posOffset>
                  </wp:positionH>
                  <wp:positionV relativeFrom="margin">
                    <wp:posOffset>295275</wp:posOffset>
                  </wp:positionV>
                  <wp:extent cx="1724025" cy="451485"/>
                  <wp:effectExtent l="0" t="0" r="9525" b="5715"/>
                  <wp:wrapSquare wrapText="bothSides"/>
                  <wp:docPr id="4" name="Billede 4"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clipart&#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025" cy="451485"/>
                          </a:xfrm>
                          <a:prstGeom prst="rect">
                            <a:avLst/>
                          </a:prstGeom>
                        </pic:spPr>
                      </pic:pic>
                    </a:graphicData>
                  </a:graphic>
                  <wp14:sizeRelH relativeFrom="page">
                    <wp14:pctWidth>0</wp14:pctWidth>
                  </wp14:sizeRelH>
                  <wp14:sizeRelV relativeFrom="page">
                    <wp14:pctHeight>0</wp14:pctHeight>
                  </wp14:sizeRelV>
                </wp:anchor>
              </w:drawing>
            </w:r>
          </w:p>
        </w:tc>
      </w:tr>
      <w:tr w:rsidR="004B39AD" w:rsidRPr="00B05019" w14:paraId="2C1D4318" w14:textId="77777777" w:rsidTr="009522ED">
        <w:trPr>
          <w:trHeight w:val="22"/>
        </w:trPr>
        <w:tc>
          <w:tcPr>
            <w:tcW w:w="6734" w:type="dxa"/>
          </w:tcPr>
          <w:p w14:paraId="3324BE99" w14:textId="77777777" w:rsidR="004B39AD" w:rsidRPr="00B05019" w:rsidRDefault="004B39AD" w:rsidP="009522ED">
            <w:pPr>
              <w:pStyle w:val="Afsender"/>
              <w:rPr>
                <w:rFonts w:ascii="Open Sans" w:hAnsi="Open Sans"/>
                <w:sz w:val="20"/>
              </w:rPr>
            </w:pPr>
          </w:p>
        </w:tc>
        <w:tc>
          <w:tcPr>
            <w:tcW w:w="2821" w:type="dxa"/>
          </w:tcPr>
          <w:p w14:paraId="23B0D2F8" w14:textId="77777777" w:rsidR="004B39AD" w:rsidRPr="00B05019" w:rsidRDefault="004B39AD" w:rsidP="009522ED">
            <w:pPr>
              <w:pStyle w:val="Afsender"/>
              <w:rPr>
                <w:rFonts w:ascii="Open Sans" w:hAnsi="Open Sans"/>
                <w:sz w:val="20"/>
              </w:rPr>
            </w:pPr>
          </w:p>
          <w:p w14:paraId="519A3056" w14:textId="77777777" w:rsidR="004B39AD" w:rsidRPr="00B05019" w:rsidRDefault="004B39AD" w:rsidP="009522ED">
            <w:pPr>
              <w:pStyle w:val="Afsender"/>
              <w:rPr>
                <w:rFonts w:ascii="Open Sans" w:hAnsi="Open Sans"/>
                <w:sz w:val="20"/>
              </w:rPr>
            </w:pPr>
          </w:p>
          <w:p w14:paraId="233D2E95" w14:textId="77777777" w:rsidR="004B39AD" w:rsidRPr="00B05019" w:rsidRDefault="004B39AD" w:rsidP="009522ED">
            <w:pPr>
              <w:pStyle w:val="Afsender"/>
              <w:rPr>
                <w:rFonts w:ascii="Open Sans" w:hAnsi="Open Sans"/>
                <w:sz w:val="20"/>
              </w:rPr>
            </w:pPr>
          </w:p>
          <w:p w14:paraId="7D30CDB6" w14:textId="77777777" w:rsidR="004B39AD" w:rsidRPr="00B05019" w:rsidRDefault="004B39AD" w:rsidP="009522ED">
            <w:pPr>
              <w:pStyle w:val="Afsender"/>
              <w:rPr>
                <w:rFonts w:ascii="Open Sans" w:hAnsi="Open Sans"/>
                <w:sz w:val="20"/>
              </w:rPr>
            </w:pPr>
          </w:p>
          <w:p w14:paraId="5450B92D" w14:textId="01C34672" w:rsidR="004B39AD" w:rsidRPr="00B377B7" w:rsidRDefault="004B39AD" w:rsidP="009522ED">
            <w:pPr>
              <w:pStyle w:val="Afsender"/>
              <w:tabs>
                <w:tab w:val="center" w:pos="1268"/>
                <w:tab w:val="right" w:pos="2537"/>
              </w:tabs>
              <w:jc w:val="right"/>
              <w:rPr>
                <w:rFonts w:ascii="Open Sans" w:hAnsi="Open Sans"/>
                <w:sz w:val="19"/>
                <w:szCs w:val="19"/>
                <w:lang w:val="en-GB"/>
              </w:rPr>
            </w:pPr>
            <w:r w:rsidRPr="00B05019">
              <w:rPr>
                <w:rFonts w:ascii="Open Sans" w:hAnsi="Open Sans"/>
                <w:sz w:val="20"/>
              </w:rPr>
              <w:t xml:space="preserve">  </w:t>
            </w:r>
            <w:r w:rsidRPr="00B05019">
              <w:rPr>
                <w:rFonts w:ascii="Open Sans" w:hAnsi="Open Sans"/>
                <w:sz w:val="20"/>
              </w:rPr>
              <w:tab/>
              <w:t xml:space="preserve">           </w:t>
            </w:r>
            <w:r w:rsidRPr="00B377B7">
              <w:rPr>
                <w:rFonts w:ascii="Open Sans" w:hAnsi="Open Sans"/>
                <w:sz w:val="19"/>
                <w:szCs w:val="19"/>
              </w:rPr>
              <w:t xml:space="preserve">   </w:t>
            </w:r>
            <w:r w:rsidRPr="00B377B7">
              <w:rPr>
                <w:rFonts w:ascii="Open Sans" w:hAnsi="Open Sans"/>
                <w:sz w:val="19"/>
                <w:szCs w:val="19"/>
              </w:rPr>
              <w:fldChar w:fldCharType="begin"/>
            </w:r>
            <w:r w:rsidRPr="00B377B7">
              <w:rPr>
                <w:rFonts w:ascii="Open Sans" w:hAnsi="Open Sans"/>
                <w:sz w:val="19"/>
                <w:szCs w:val="19"/>
              </w:rPr>
              <w:instrText xml:space="preserve"> CREATEDATE  \@ "d. MMMM yyyy" </w:instrText>
            </w:r>
            <w:r w:rsidRPr="00B377B7">
              <w:rPr>
                <w:rFonts w:ascii="Open Sans" w:hAnsi="Open Sans"/>
                <w:sz w:val="19"/>
                <w:szCs w:val="19"/>
              </w:rPr>
              <w:fldChar w:fldCharType="separate"/>
            </w:r>
            <w:r w:rsidR="003A3DA6">
              <w:rPr>
                <w:rFonts w:ascii="Open Sans" w:hAnsi="Open Sans"/>
                <w:sz w:val="19"/>
                <w:szCs w:val="19"/>
              </w:rPr>
              <w:t>D</w:t>
            </w:r>
            <w:r>
              <w:rPr>
                <w:rFonts w:ascii="Open Sans" w:hAnsi="Open Sans"/>
                <w:sz w:val="19"/>
                <w:szCs w:val="19"/>
              </w:rPr>
              <w:t>ece</w:t>
            </w:r>
            <w:r>
              <w:rPr>
                <w:rFonts w:ascii="Open Sans" w:hAnsi="Open Sans"/>
                <w:noProof/>
                <w:sz w:val="19"/>
                <w:szCs w:val="19"/>
              </w:rPr>
              <w:t>mber 202</w:t>
            </w:r>
            <w:r w:rsidRPr="00B377B7">
              <w:rPr>
                <w:rFonts w:ascii="Open Sans" w:hAnsi="Open Sans"/>
                <w:sz w:val="19"/>
                <w:szCs w:val="19"/>
              </w:rPr>
              <w:fldChar w:fldCharType="end"/>
            </w:r>
            <w:r>
              <w:rPr>
                <w:rFonts w:ascii="Open Sans" w:hAnsi="Open Sans"/>
                <w:sz w:val="19"/>
                <w:szCs w:val="19"/>
              </w:rPr>
              <w:t>2</w:t>
            </w:r>
          </w:p>
          <w:p w14:paraId="37DCC924" w14:textId="77777777" w:rsidR="004B39AD" w:rsidRPr="00B05019" w:rsidRDefault="004B39AD" w:rsidP="009522ED">
            <w:pPr>
              <w:pStyle w:val="Afsender"/>
              <w:rPr>
                <w:rFonts w:ascii="Open Sans" w:hAnsi="Open Sans"/>
                <w:sz w:val="20"/>
                <w:lang w:val="en-GB"/>
              </w:rPr>
            </w:pPr>
          </w:p>
        </w:tc>
      </w:tr>
      <w:tr w:rsidR="004B39AD" w:rsidRPr="00B05019" w14:paraId="6A38B51B" w14:textId="77777777" w:rsidTr="009522ED">
        <w:trPr>
          <w:trHeight w:val="22"/>
        </w:trPr>
        <w:tc>
          <w:tcPr>
            <w:tcW w:w="6734" w:type="dxa"/>
          </w:tcPr>
          <w:p w14:paraId="79A3C176" w14:textId="54D155B9" w:rsidR="004B39AD" w:rsidRPr="00B05019" w:rsidRDefault="004B39AD" w:rsidP="009522ED">
            <w:pPr>
              <w:pStyle w:val="Afsender"/>
              <w:rPr>
                <w:rFonts w:ascii="Open Sans Semibold" w:hAnsi="Open Sans Semibold" w:cs="Open Sans Semibold"/>
                <w:sz w:val="26"/>
                <w:szCs w:val="26"/>
              </w:rPr>
            </w:pPr>
            <w:r>
              <w:rPr>
                <w:rFonts w:ascii="Open Sans Semibold" w:hAnsi="Open Sans Semibold" w:cs="Open Sans Semibold"/>
                <w:sz w:val="26"/>
                <w:szCs w:val="26"/>
              </w:rPr>
              <w:t>Proces ved brud på persondatasikkerhed i lokalforeningen</w:t>
            </w:r>
          </w:p>
        </w:tc>
        <w:tc>
          <w:tcPr>
            <w:tcW w:w="2821" w:type="dxa"/>
          </w:tcPr>
          <w:p w14:paraId="1A41D297" w14:textId="77777777" w:rsidR="004B39AD" w:rsidRPr="00B05019" w:rsidRDefault="004B39AD" w:rsidP="009522ED">
            <w:pPr>
              <w:pStyle w:val="Afsender"/>
              <w:jc w:val="right"/>
              <w:rPr>
                <w:rFonts w:ascii="Open Sans Semibold" w:hAnsi="Open Sans Semibold" w:cs="Open Sans Semibold"/>
                <w:sz w:val="26"/>
                <w:szCs w:val="26"/>
              </w:rPr>
            </w:pPr>
          </w:p>
        </w:tc>
      </w:tr>
    </w:tbl>
    <w:p w14:paraId="1C88CD3D" w14:textId="77777777" w:rsidR="004B39AD" w:rsidRDefault="004B39AD" w:rsidP="004B39AD"/>
    <w:p w14:paraId="2080E8AC" w14:textId="77777777" w:rsidR="00AB1806" w:rsidRDefault="00AB1806" w:rsidP="00AB1806">
      <w:pPr>
        <w:rPr>
          <w:szCs w:val="19"/>
        </w:rPr>
      </w:pPr>
      <w:r w:rsidRPr="00800E85">
        <w:rPr>
          <w:szCs w:val="19"/>
        </w:rPr>
        <w:t xml:space="preserve">Hvis I som dataansvarlig ved et uheld kommer til at lække oplysninger, bliver hacket eller på anden vis oplever et brud på datasikkerheden, skal det i nogle tilfælde anmeldes til Datatilsynet. Men det er kun i tilfælde, hvor der er en særlig risiko for de registrerede personer, der skal ske anmeldelse, og vi anbefaler, at I </w:t>
      </w:r>
      <w:proofErr w:type="gramStart"/>
      <w:r w:rsidRPr="00800E85">
        <w:rPr>
          <w:szCs w:val="19"/>
        </w:rPr>
        <w:t>tager kontakt til</w:t>
      </w:r>
      <w:proofErr w:type="gramEnd"/>
      <w:r w:rsidRPr="00800E85">
        <w:rPr>
          <w:szCs w:val="19"/>
        </w:rPr>
        <w:t xml:space="preserve"> Fonden Mødrehjælpen, inden I anmelder det til Datatilsynet. </w:t>
      </w:r>
      <w:r w:rsidRPr="00857A9F">
        <w:rPr>
          <w:b/>
          <w:bCs w:val="0"/>
          <w:szCs w:val="19"/>
        </w:rPr>
        <w:t>Anmeldelse skal ske senest 72 timer efter, at I har opdaget sikkerhedsbruddet.</w:t>
      </w:r>
    </w:p>
    <w:p w14:paraId="08C6A8A8" w14:textId="77777777" w:rsidR="00AB1806" w:rsidRDefault="00AB1806" w:rsidP="004B39AD"/>
    <w:p w14:paraId="7FA2B82F" w14:textId="3CF8C28E" w:rsidR="00AB1806" w:rsidRDefault="002E1540" w:rsidP="004B39AD">
      <w:r>
        <w:t>Læs her, hvad et databrud er og hvilke trin man skal igennem, hvis der sker et i lokalforeningen.</w:t>
      </w:r>
    </w:p>
    <w:p w14:paraId="73947DD1" w14:textId="77777777" w:rsidR="004B39AD" w:rsidRPr="00D71C06" w:rsidRDefault="004B39AD" w:rsidP="004B39AD">
      <w:pPr>
        <w:rPr>
          <w:sz w:val="22"/>
          <w:szCs w:val="24"/>
        </w:rPr>
      </w:pPr>
    </w:p>
    <w:p w14:paraId="22ABA613" w14:textId="77777777" w:rsidR="004B39AD" w:rsidRPr="00D71C06" w:rsidRDefault="004B39AD" w:rsidP="004B39AD">
      <w:pPr>
        <w:rPr>
          <w:b/>
          <w:bCs w:val="0"/>
          <w:sz w:val="22"/>
          <w:szCs w:val="24"/>
        </w:rPr>
      </w:pPr>
      <w:r w:rsidRPr="00D71C06">
        <w:rPr>
          <w:b/>
          <w:bCs w:val="0"/>
          <w:sz w:val="22"/>
          <w:szCs w:val="24"/>
        </w:rPr>
        <w:t>Hvad er et databrud?</w:t>
      </w:r>
    </w:p>
    <w:p w14:paraId="2E0EF727" w14:textId="593F57EF" w:rsidR="004B39AD" w:rsidRDefault="004B39AD" w:rsidP="004B39AD">
      <w:r>
        <w:t xml:space="preserve">Databrud kan opdeles i databrud, hvor der ikke sker brud på persondatasikkerhed og databrud, hvor der sker brud på persondatasikkerhed. Hvis der er sket brud på </w:t>
      </w:r>
      <w:r w:rsidRPr="3F2E7EE9">
        <w:rPr>
          <w:i/>
        </w:rPr>
        <w:t>persondatasikkerhed</w:t>
      </w:r>
      <w:r>
        <w:t xml:space="preserve">, skal procedure </w:t>
      </w:r>
      <w:r w:rsidR="005E7D92">
        <w:t xml:space="preserve">på næste side </w:t>
      </w:r>
      <w:r>
        <w:t>følges.</w:t>
      </w:r>
    </w:p>
    <w:p w14:paraId="0F2C5B41" w14:textId="77777777" w:rsidR="004B39AD" w:rsidRPr="00B462EB" w:rsidRDefault="004B39AD" w:rsidP="004B39AD"/>
    <w:p w14:paraId="33B5760D" w14:textId="77777777" w:rsidR="004B39AD" w:rsidRDefault="004B39AD" w:rsidP="004B39AD">
      <w:r>
        <w:t>I databeskyttelsesforordningen defineres et brud på persondatasikkerhed på følgende måde: ”E</w:t>
      </w:r>
      <w:r w:rsidRPr="00817DA1">
        <w:t>t brud</w:t>
      </w:r>
      <w:r>
        <w:t xml:space="preserve"> på sikkerheden</w:t>
      </w:r>
      <w:r w:rsidRPr="00817DA1">
        <w:t>, der fører til hændelig eller ulovlig tilintetgørelse, tab, ændring, uautoriseret videregivelse</w:t>
      </w:r>
      <w:r>
        <w:t xml:space="preserve"> </w:t>
      </w:r>
      <w:r w:rsidRPr="00817DA1">
        <w:t xml:space="preserve">af eller adgang til </w:t>
      </w:r>
      <w:r>
        <w:t>p</w:t>
      </w:r>
      <w:r w:rsidRPr="00817DA1">
        <w:t>erson</w:t>
      </w:r>
      <w:r>
        <w:t>oplys</w:t>
      </w:r>
      <w:r w:rsidRPr="00817DA1">
        <w:t>ninger der er trans</w:t>
      </w:r>
      <w:r>
        <w:t>mi</w:t>
      </w:r>
      <w:r w:rsidRPr="00817DA1">
        <w:t>tteret</w:t>
      </w:r>
      <w:r>
        <w:t>, op</w:t>
      </w:r>
      <w:r w:rsidRPr="00817DA1">
        <w:t>be</w:t>
      </w:r>
      <w:r>
        <w:t>v</w:t>
      </w:r>
      <w:r w:rsidRPr="00817DA1">
        <w:t xml:space="preserve">aret eller anden </w:t>
      </w:r>
      <w:r>
        <w:t>måde</w:t>
      </w:r>
      <w:r w:rsidRPr="00817DA1">
        <w:t xml:space="preserve"> behandlet.”</w:t>
      </w:r>
    </w:p>
    <w:p w14:paraId="537E955B" w14:textId="77777777" w:rsidR="004B39AD" w:rsidRDefault="004B39AD" w:rsidP="004B39AD"/>
    <w:p w14:paraId="3A34AC96" w14:textId="77777777" w:rsidR="004B39AD" w:rsidRDefault="004B39AD" w:rsidP="004B39AD">
      <w:r>
        <w:t xml:space="preserve">Som eksempler på brud på persondatasikkerheden kan nævnes: </w:t>
      </w:r>
    </w:p>
    <w:p w14:paraId="7B7D215B" w14:textId="5A1FCDBF" w:rsidR="004B39AD" w:rsidRDefault="004B39AD" w:rsidP="004B39AD">
      <w:pPr>
        <w:pStyle w:val="Listeafsnit"/>
        <w:numPr>
          <w:ilvl w:val="0"/>
          <w:numId w:val="2"/>
        </w:numPr>
      </w:pPr>
      <w:r>
        <w:t xml:space="preserve">Der videregives ubevidst eller bevidst personoplysninger om en borger/kunde til en anden borger/kunde – eller måske ligefrem flere andre uvedkommende personer. Fx hvis en invitation til et arrangement ikke udsendes med </w:t>
      </w:r>
      <w:proofErr w:type="spellStart"/>
      <w:r>
        <w:t>Bcc</w:t>
      </w:r>
      <w:proofErr w:type="spellEnd"/>
      <w:r>
        <w:t>.</w:t>
      </w:r>
    </w:p>
    <w:p w14:paraId="11CDB8E2" w14:textId="0CA2BD32" w:rsidR="004B39AD" w:rsidRDefault="004B39AD" w:rsidP="004B39AD">
      <w:pPr>
        <w:pStyle w:val="Listeafsnit"/>
        <w:numPr>
          <w:ilvl w:val="0"/>
          <w:numId w:val="2"/>
        </w:numPr>
      </w:pPr>
      <w:r>
        <w:t>Andre personer end den eller de personer hos dataansvarlige, der er autoriseret til det, får (uautoriseret) adgang til personoplysninger. Det kan både være personer uden for eller inden for dataansvarliges organisation. Fx hvis udfyldte ansøgningsskemaer kommer til at være tilgængelige for andre end dem, der skal behandle dem.</w:t>
      </w:r>
    </w:p>
    <w:p w14:paraId="564D6E7C" w14:textId="7E80AD9E" w:rsidR="004B39AD" w:rsidRDefault="004B39AD" w:rsidP="004B39AD">
      <w:pPr>
        <w:pStyle w:val="Listeafsnit"/>
        <w:numPr>
          <w:ilvl w:val="0"/>
          <w:numId w:val="2"/>
        </w:numPr>
      </w:pPr>
      <w:r>
        <w:t>De</w:t>
      </w:r>
      <w:r w:rsidR="00DE07A6">
        <w:t xml:space="preserve">r </w:t>
      </w:r>
      <w:r>
        <w:t>ændre</w:t>
      </w:r>
      <w:r w:rsidR="00DE07A6">
        <w:t xml:space="preserve">s </w:t>
      </w:r>
      <w:r>
        <w:t>eller slette</w:t>
      </w:r>
      <w:r w:rsidR="00DE07A6">
        <w:t>s</w:t>
      </w:r>
      <w:r>
        <w:t xml:space="preserve"> personoplysninger ved et uheld. </w:t>
      </w:r>
    </w:p>
    <w:p w14:paraId="27A271FB" w14:textId="57A92C20" w:rsidR="004B39AD" w:rsidRPr="00934B07" w:rsidRDefault="004B39AD" w:rsidP="004B39AD">
      <w:pPr>
        <w:pStyle w:val="Listeafsnit"/>
        <w:numPr>
          <w:ilvl w:val="0"/>
          <w:numId w:val="2"/>
        </w:numPr>
      </w:pPr>
      <w:r w:rsidRPr="00934B07">
        <w:t>Bortkommen/stjålet computer/hardware, hvor der findes følsomme personoplysninger på lokalt drev, uanset om harddisk eller mediet i øvrigt er krypteret, fordi det ikke er usandsynligt, at bruddet indebærer risici for de registrerede.</w:t>
      </w:r>
    </w:p>
    <w:p w14:paraId="1DFB8034" w14:textId="77777777" w:rsidR="004B39AD" w:rsidRDefault="004B39AD" w:rsidP="004B39AD"/>
    <w:p w14:paraId="54721272" w14:textId="77777777" w:rsidR="004B39AD" w:rsidRDefault="004B39AD" w:rsidP="004B39AD">
      <w:pPr>
        <w:rPr>
          <w:b/>
          <w:bCs w:val="0"/>
        </w:rPr>
      </w:pPr>
    </w:p>
    <w:p w14:paraId="373A8B29" w14:textId="77777777" w:rsidR="004B39AD" w:rsidRDefault="004B39AD" w:rsidP="004B39AD">
      <w:pPr>
        <w:rPr>
          <w:b/>
          <w:bCs w:val="0"/>
        </w:rPr>
      </w:pPr>
    </w:p>
    <w:p w14:paraId="29DE4255" w14:textId="77777777" w:rsidR="004B39AD" w:rsidRDefault="004B39AD" w:rsidP="004B39AD">
      <w:pPr>
        <w:rPr>
          <w:b/>
          <w:bCs w:val="0"/>
        </w:rPr>
      </w:pPr>
    </w:p>
    <w:p w14:paraId="4EA384F4" w14:textId="77777777" w:rsidR="004B39AD" w:rsidRDefault="004B39AD" w:rsidP="004B39AD">
      <w:pPr>
        <w:rPr>
          <w:b/>
          <w:bCs w:val="0"/>
        </w:rPr>
      </w:pPr>
    </w:p>
    <w:p w14:paraId="723068D1" w14:textId="4DE40B9A" w:rsidR="004B39AD" w:rsidRPr="00D71C06" w:rsidRDefault="004B39AD" w:rsidP="004B39AD">
      <w:pPr>
        <w:rPr>
          <w:b/>
          <w:bCs w:val="0"/>
          <w:sz w:val="22"/>
          <w:szCs w:val="24"/>
        </w:rPr>
      </w:pPr>
      <w:r w:rsidRPr="00D71C06">
        <w:rPr>
          <w:b/>
          <w:bCs w:val="0"/>
          <w:sz w:val="22"/>
          <w:szCs w:val="24"/>
        </w:rPr>
        <w:t xml:space="preserve">Hvad skal </w:t>
      </w:r>
      <w:r w:rsidR="00EE3DAF">
        <w:rPr>
          <w:b/>
          <w:bCs w:val="0"/>
          <w:sz w:val="22"/>
          <w:szCs w:val="24"/>
        </w:rPr>
        <w:t>der</w:t>
      </w:r>
      <w:r w:rsidRPr="00D71C06">
        <w:rPr>
          <w:b/>
          <w:bCs w:val="0"/>
          <w:sz w:val="22"/>
          <w:szCs w:val="24"/>
        </w:rPr>
        <w:t xml:space="preserve"> gøre</w:t>
      </w:r>
      <w:r w:rsidR="00EE3DAF">
        <w:rPr>
          <w:b/>
          <w:bCs w:val="0"/>
          <w:sz w:val="22"/>
          <w:szCs w:val="24"/>
        </w:rPr>
        <w:t>s</w:t>
      </w:r>
      <w:r w:rsidRPr="00D71C06">
        <w:rPr>
          <w:b/>
          <w:bCs w:val="0"/>
          <w:sz w:val="22"/>
          <w:szCs w:val="24"/>
        </w:rPr>
        <w:t xml:space="preserve"> ved brud</w:t>
      </w:r>
      <w:r w:rsidR="00EE3DAF">
        <w:rPr>
          <w:b/>
          <w:bCs w:val="0"/>
          <w:sz w:val="22"/>
          <w:szCs w:val="24"/>
        </w:rPr>
        <w:t xml:space="preserve"> på persondatasikkerheden</w:t>
      </w:r>
      <w:r>
        <w:rPr>
          <w:b/>
          <w:bCs w:val="0"/>
          <w:sz w:val="22"/>
          <w:szCs w:val="24"/>
        </w:rPr>
        <w:t>?</w:t>
      </w:r>
    </w:p>
    <w:p w14:paraId="46321482" w14:textId="77777777" w:rsidR="004B39AD" w:rsidRDefault="004B39AD" w:rsidP="004B39AD"/>
    <w:p w14:paraId="457367FC" w14:textId="77777777" w:rsidR="004B39AD" w:rsidRDefault="004B39AD" w:rsidP="004B39AD"/>
    <w:p w14:paraId="77690709" w14:textId="77777777" w:rsidR="004B39AD" w:rsidRPr="00204F02" w:rsidRDefault="004B39AD" w:rsidP="004B39AD">
      <w:pPr>
        <w:pStyle w:val="Listeafsnit"/>
        <w:numPr>
          <w:ilvl w:val="0"/>
          <w:numId w:val="6"/>
        </w:numPr>
        <w:ind w:left="284" w:hanging="284"/>
        <w:rPr>
          <w:b/>
          <w:bCs w:val="0"/>
        </w:rPr>
      </w:pPr>
      <w:r w:rsidRPr="00204F02">
        <w:rPr>
          <w:b/>
          <w:bCs w:val="0"/>
        </w:rPr>
        <w:t>Stop bruddet i systemet!</w:t>
      </w:r>
    </w:p>
    <w:p w14:paraId="133FD1F8" w14:textId="55F2B07E" w:rsidR="004B39AD" w:rsidRDefault="004B39AD" w:rsidP="004B39AD">
      <w:r>
        <w:t>Det første du skal gøre, er at stoppe bruddet og begrænse eventuelle skader og/eller læk. Om nødvendigt tages kontakt til systemleverandør</w:t>
      </w:r>
      <w:r w:rsidR="004B6F57">
        <w:t xml:space="preserve">, Fonden Mødrehjælpen eller </w:t>
      </w:r>
      <w:r>
        <w:t>andre relevante.</w:t>
      </w:r>
    </w:p>
    <w:p w14:paraId="1266C793" w14:textId="77777777" w:rsidR="004B39AD" w:rsidRDefault="004B39AD" w:rsidP="004B39AD"/>
    <w:p w14:paraId="0C0319E3" w14:textId="77777777" w:rsidR="004B39AD" w:rsidRPr="00204F02" w:rsidRDefault="004B39AD" w:rsidP="004B39AD">
      <w:pPr>
        <w:pStyle w:val="Listeafsnit"/>
        <w:numPr>
          <w:ilvl w:val="0"/>
          <w:numId w:val="6"/>
        </w:numPr>
        <w:ind w:left="284" w:hanging="284"/>
        <w:rPr>
          <w:b/>
          <w:bCs w:val="0"/>
        </w:rPr>
      </w:pPr>
      <w:r w:rsidRPr="00204F02">
        <w:rPr>
          <w:b/>
          <w:bCs w:val="0"/>
        </w:rPr>
        <w:t xml:space="preserve">Vurdér om databruddet udgør et brud på </w:t>
      </w:r>
      <w:r w:rsidRPr="00204F02">
        <w:rPr>
          <w:b/>
          <w:bCs w:val="0"/>
          <w:i/>
          <w:iCs w:val="0"/>
        </w:rPr>
        <w:t>persondatasikkerhed</w:t>
      </w:r>
    </w:p>
    <w:p w14:paraId="6E04D7E1" w14:textId="77777777" w:rsidR="004B39AD" w:rsidRDefault="004B39AD" w:rsidP="004B39AD">
      <w:r>
        <w:t>Til den vurdering kan bruges disse spørgsmål:</w:t>
      </w:r>
    </w:p>
    <w:p w14:paraId="4ADAB857" w14:textId="77777777" w:rsidR="004B39AD" w:rsidRPr="003E247C" w:rsidRDefault="004B39AD" w:rsidP="004B39AD">
      <w:pPr>
        <w:pStyle w:val="Listeafsnit"/>
        <w:numPr>
          <w:ilvl w:val="1"/>
          <w:numId w:val="1"/>
        </w:numPr>
        <w:spacing w:after="160" w:line="259" w:lineRule="auto"/>
      </w:pPr>
      <w:r w:rsidRPr="003E247C">
        <w:t>Typen af sikkerhedsbrud, herunder om der er sket tab af oplysninger, brud på fortroligheden eller en integritetskrænkelse</w:t>
      </w:r>
    </w:p>
    <w:p w14:paraId="43DEC722" w14:textId="77777777" w:rsidR="004B39AD" w:rsidRPr="003E247C" w:rsidRDefault="004B39AD" w:rsidP="004B39AD">
      <w:pPr>
        <w:pStyle w:val="Listeafsnit"/>
        <w:numPr>
          <w:ilvl w:val="1"/>
          <w:numId w:val="1"/>
        </w:numPr>
        <w:spacing w:after="160" w:line="259" w:lineRule="auto"/>
      </w:pPr>
      <w:r w:rsidRPr="003E247C">
        <w:t>Oplysningernes art og omfang</w:t>
      </w:r>
    </w:p>
    <w:p w14:paraId="548A41E9" w14:textId="77777777" w:rsidR="004B39AD" w:rsidRPr="003E247C" w:rsidRDefault="004B39AD" w:rsidP="004B39AD">
      <w:pPr>
        <w:pStyle w:val="Listeafsnit"/>
        <w:numPr>
          <w:ilvl w:val="1"/>
          <w:numId w:val="1"/>
        </w:numPr>
        <w:spacing w:after="160" w:line="259" w:lineRule="auto"/>
      </w:pPr>
      <w:r w:rsidRPr="003E247C">
        <w:t>Risikoen for</w:t>
      </w:r>
      <w:r>
        <w:t>,</w:t>
      </w:r>
      <w:r w:rsidRPr="003E247C">
        <w:t xml:space="preserve"> at registrerede kan identificeres</w:t>
      </w:r>
    </w:p>
    <w:p w14:paraId="570F6A53" w14:textId="77777777" w:rsidR="004B39AD" w:rsidRPr="003E247C" w:rsidRDefault="004B39AD" w:rsidP="004B39AD">
      <w:pPr>
        <w:pStyle w:val="Listeafsnit"/>
        <w:numPr>
          <w:ilvl w:val="1"/>
          <w:numId w:val="1"/>
        </w:numPr>
        <w:spacing w:after="160" w:line="259" w:lineRule="auto"/>
      </w:pPr>
      <w:r w:rsidRPr="003E247C">
        <w:t>Konsekvenser bruddet kan have for de registrerede</w:t>
      </w:r>
    </w:p>
    <w:p w14:paraId="056ED476" w14:textId="77777777" w:rsidR="004B39AD" w:rsidRPr="00FF0532" w:rsidRDefault="004B39AD" w:rsidP="004B39AD">
      <w:pPr>
        <w:pStyle w:val="Listeafsnit"/>
        <w:numPr>
          <w:ilvl w:val="1"/>
          <w:numId w:val="1"/>
        </w:numPr>
        <w:spacing w:after="160" w:line="259" w:lineRule="auto"/>
      </w:pPr>
      <w:r w:rsidRPr="00FF0532">
        <w:t>Hvorvidt bruddet omfatter særlige registrerede (f.eks. hvis der er tale om børn eller særligt udsatte)</w:t>
      </w:r>
    </w:p>
    <w:p w14:paraId="07D97256" w14:textId="77777777" w:rsidR="004B39AD" w:rsidRDefault="004B39AD" w:rsidP="004B39AD">
      <w:pPr>
        <w:pStyle w:val="Listeafsnit"/>
        <w:numPr>
          <w:ilvl w:val="1"/>
          <w:numId w:val="1"/>
        </w:numPr>
        <w:spacing w:after="160" w:line="259" w:lineRule="auto"/>
      </w:pPr>
      <w:r w:rsidRPr="00FF0532">
        <w:t>Antallet af berørte fysiske personer</w:t>
      </w:r>
    </w:p>
    <w:p w14:paraId="3C03FAF3" w14:textId="77777777" w:rsidR="004B39AD" w:rsidRDefault="004B39AD" w:rsidP="004B39AD">
      <w:pPr>
        <w:pStyle w:val="Listeafsnit"/>
        <w:spacing w:after="160" w:line="259" w:lineRule="auto"/>
        <w:ind w:left="1440"/>
      </w:pPr>
    </w:p>
    <w:p w14:paraId="7FBF0E78" w14:textId="64908002" w:rsidR="004B39AD" w:rsidRPr="0072025C" w:rsidRDefault="004B39AD" w:rsidP="004B39AD">
      <w:pPr>
        <w:pStyle w:val="Listeafsnit"/>
        <w:numPr>
          <w:ilvl w:val="0"/>
          <w:numId w:val="6"/>
        </w:numPr>
        <w:ind w:left="284" w:hanging="284"/>
        <w:rPr>
          <w:b/>
          <w:bCs w:val="0"/>
        </w:rPr>
      </w:pPr>
      <w:r w:rsidRPr="00B0532C">
        <w:rPr>
          <w:b/>
          <w:bCs w:val="0"/>
        </w:rPr>
        <w:t xml:space="preserve">Orienter </w:t>
      </w:r>
      <w:r>
        <w:rPr>
          <w:b/>
          <w:bCs w:val="0"/>
        </w:rPr>
        <w:t>lokalforeningens GDPR-ansvarlige eller formand samt evt. Mødrehjælpens frivilligafdeling.</w:t>
      </w:r>
    </w:p>
    <w:p w14:paraId="5F9B1BC3" w14:textId="77777777" w:rsidR="004B39AD" w:rsidRPr="00B0532C" w:rsidRDefault="004B39AD" w:rsidP="004B39AD">
      <w:pPr>
        <w:rPr>
          <w:b/>
          <w:bCs w:val="0"/>
        </w:rPr>
      </w:pPr>
    </w:p>
    <w:p w14:paraId="5C84DF94" w14:textId="77777777" w:rsidR="004B39AD" w:rsidRPr="000072F8" w:rsidRDefault="004B39AD" w:rsidP="004B39AD">
      <w:pPr>
        <w:rPr>
          <w:b/>
          <w:bCs w:val="0"/>
        </w:rPr>
      </w:pPr>
    </w:p>
    <w:p w14:paraId="70822580" w14:textId="32286450" w:rsidR="004B39AD" w:rsidRPr="000072F8" w:rsidRDefault="004B39AD" w:rsidP="004B39AD">
      <w:pPr>
        <w:pStyle w:val="Listeafsnit"/>
        <w:numPr>
          <w:ilvl w:val="0"/>
          <w:numId w:val="6"/>
        </w:numPr>
        <w:ind w:left="284" w:hanging="284"/>
        <w:rPr>
          <w:b/>
          <w:bCs w:val="0"/>
        </w:rPr>
      </w:pPr>
      <w:r w:rsidRPr="000072F8">
        <w:rPr>
          <w:b/>
          <w:bCs w:val="0"/>
        </w:rPr>
        <w:t>Er bruddet af en karakter som kan udgøre en sikkerhedsrisiko for den registrerede tag straks fat i frivilligchefen.</w:t>
      </w:r>
    </w:p>
    <w:p w14:paraId="4BE59F8D" w14:textId="77777777" w:rsidR="004B39AD" w:rsidRDefault="004B39AD" w:rsidP="004B39AD"/>
    <w:p w14:paraId="4326CE65" w14:textId="77777777" w:rsidR="004B39AD" w:rsidRPr="00A36945" w:rsidRDefault="004B39AD" w:rsidP="004B39AD">
      <w:pPr>
        <w:pStyle w:val="Listeafsnit"/>
        <w:numPr>
          <w:ilvl w:val="0"/>
          <w:numId w:val="6"/>
        </w:numPr>
        <w:ind w:left="284" w:hanging="284"/>
        <w:rPr>
          <w:b/>
          <w:bCs w:val="0"/>
        </w:rPr>
      </w:pPr>
      <w:r w:rsidRPr="00A36945">
        <w:rPr>
          <w:b/>
          <w:bCs w:val="0"/>
        </w:rPr>
        <w:t>Indberetning til Datatilsynet</w:t>
      </w:r>
    </w:p>
    <w:p w14:paraId="42C8E14B" w14:textId="1054DEDE" w:rsidR="004B39AD" w:rsidRPr="00FE7ABD" w:rsidRDefault="004B39AD" w:rsidP="004B39AD">
      <w:r>
        <w:t>Som udgangspunkt skal alle brud på persondatasikkerheden anmeldes til Datatilsynet</w:t>
      </w:r>
      <w:r w:rsidR="00FE7ABD">
        <w:t xml:space="preserve"> på: </w:t>
      </w:r>
      <w:hyperlink r:id="rId8" w:history="1">
        <w:r w:rsidR="001A00BF" w:rsidRPr="006C6B1B">
          <w:rPr>
            <w:rStyle w:val="Hyperlink"/>
          </w:rPr>
          <w:t>www.datatilsynet.dk/sikkerhedsbrud/anme</w:t>
        </w:r>
        <w:r w:rsidR="001A00BF" w:rsidRPr="006C6B1B">
          <w:rPr>
            <w:rStyle w:val="Hyperlink"/>
          </w:rPr>
          <w:t>l</w:t>
        </w:r>
        <w:r w:rsidR="001A00BF" w:rsidRPr="006C6B1B">
          <w:rPr>
            <w:rStyle w:val="Hyperlink"/>
          </w:rPr>
          <w:t>d-sikkerhedsbrud</w:t>
        </w:r>
      </w:hyperlink>
      <w:r>
        <w:t xml:space="preserve">. Det er således kun, hvis det er usandsynligt, at bruddet indebærer en risiko for fysiske personers rettigheder eller frihedsrettigheder, at der ikke skal ske anmeldelse. </w:t>
      </w:r>
      <w:r>
        <w:rPr>
          <w:b/>
          <w:bCs w:val="0"/>
        </w:rPr>
        <w:t xml:space="preserve"> </w:t>
      </w:r>
    </w:p>
    <w:p w14:paraId="2F77C39A" w14:textId="77777777" w:rsidR="004B39AD" w:rsidRDefault="004B39AD" w:rsidP="004B39AD">
      <w:r>
        <w:t xml:space="preserve">Du kan læse mere om proceduren ved indberetning på Datatilsynets hjemmeside. Bemærk, at der er en </w:t>
      </w:r>
      <w:r w:rsidRPr="000D3277">
        <w:rPr>
          <w:b/>
          <w:bCs w:val="0"/>
        </w:rPr>
        <w:t>tidsfrist på 72 timer</w:t>
      </w:r>
      <w:r>
        <w:t xml:space="preserve"> for indberetning af brud på persondatasikkerhed.</w:t>
      </w:r>
    </w:p>
    <w:p w14:paraId="2097BE1E" w14:textId="77777777" w:rsidR="004B39AD" w:rsidRDefault="004B39AD" w:rsidP="004B39AD"/>
    <w:p w14:paraId="78655033" w14:textId="7FE34CD5" w:rsidR="004B39AD" w:rsidRDefault="004B39AD" w:rsidP="004B39AD">
      <w:r>
        <w:t>Til brug for indberetningen skal bruges lokalforeningens NemID samt information om, hvad der er sket samt hændelsesforløb. Du vil blive bedt om at oplyse følgende:</w:t>
      </w:r>
    </w:p>
    <w:p w14:paraId="61C2A36B" w14:textId="77777777" w:rsidR="004B39AD" w:rsidRPr="00DF3823" w:rsidRDefault="004B39AD" w:rsidP="004B39AD">
      <w:pPr>
        <w:pStyle w:val="Listeafsnit"/>
        <w:numPr>
          <w:ilvl w:val="0"/>
          <w:numId w:val="4"/>
        </w:numPr>
        <w:shd w:val="clear" w:color="auto" w:fill="FFFFFF"/>
        <w:spacing w:before="113" w:after="113" w:line="240" w:lineRule="auto"/>
      </w:pPr>
      <w:r w:rsidRPr="00DF3823">
        <w:t>Beskrive karakteren af bruddet på persondatasikkerheden mv.</w:t>
      </w:r>
    </w:p>
    <w:p w14:paraId="0304397C" w14:textId="77777777" w:rsidR="004B39AD" w:rsidRPr="00DF3823" w:rsidRDefault="004B39AD" w:rsidP="004B39AD">
      <w:pPr>
        <w:pStyle w:val="Listeafsnit"/>
        <w:numPr>
          <w:ilvl w:val="0"/>
          <w:numId w:val="4"/>
        </w:numPr>
        <w:shd w:val="clear" w:color="auto" w:fill="FFFFFF"/>
        <w:spacing w:before="113" w:after="113" w:line="240" w:lineRule="auto"/>
      </w:pPr>
      <w:r w:rsidRPr="00DF3823">
        <w:t>Angive navn på og kontaktoplysninger</w:t>
      </w:r>
      <w:r>
        <w:t>,</w:t>
      </w:r>
      <w:r w:rsidRPr="00DF3823">
        <w:t xml:space="preserve"> hvor yderligere oplysninger kan indhentes</w:t>
      </w:r>
    </w:p>
    <w:p w14:paraId="541DF5F4" w14:textId="77777777" w:rsidR="004B39AD" w:rsidRPr="00DF3823" w:rsidRDefault="004B39AD" w:rsidP="004B39AD">
      <w:pPr>
        <w:pStyle w:val="Listeafsnit"/>
        <w:numPr>
          <w:ilvl w:val="0"/>
          <w:numId w:val="4"/>
        </w:numPr>
        <w:shd w:val="clear" w:color="auto" w:fill="FFFFFF"/>
        <w:spacing w:before="113" w:after="113" w:line="240" w:lineRule="auto"/>
      </w:pPr>
      <w:r w:rsidRPr="00DF3823">
        <w:t>Beskrive de sandsynlige konsekvenser af bruddet på persondatasikkerheden</w:t>
      </w:r>
    </w:p>
    <w:p w14:paraId="48BED921" w14:textId="4B5D4BBB" w:rsidR="004B39AD" w:rsidRDefault="004B39AD" w:rsidP="004B39AD">
      <w:pPr>
        <w:pStyle w:val="Listeafsnit"/>
        <w:numPr>
          <w:ilvl w:val="0"/>
          <w:numId w:val="4"/>
        </w:numPr>
        <w:shd w:val="clear" w:color="auto" w:fill="FFFFFF"/>
        <w:spacing w:before="113" w:after="113" w:line="240" w:lineRule="auto"/>
      </w:pPr>
      <w:r w:rsidRPr="00DF3823">
        <w:t>Beskrive de foranstaltninger, som du har truffet eller foreslår truffet for at håndtere bruddet på persondatasikkerheden, herunder, hvis det er relevant, foranstaltninger for at begrænse dets mulige skadevirkninger</w:t>
      </w:r>
    </w:p>
    <w:p w14:paraId="5C9CB309" w14:textId="0E4BE251" w:rsidR="004B39AD" w:rsidRDefault="004B39AD" w:rsidP="004B39AD"/>
    <w:p w14:paraId="1035FD1E" w14:textId="476B792A" w:rsidR="001A00BF" w:rsidRDefault="001A00BF" w:rsidP="004B39AD"/>
    <w:p w14:paraId="01142471" w14:textId="77777777" w:rsidR="001A00BF" w:rsidRDefault="001A00BF" w:rsidP="004B39AD"/>
    <w:p w14:paraId="028D3744" w14:textId="77777777" w:rsidR="004B39AD" w:rsidRPr="00A36945" w:rsidRDefault="004B39AD" w:rsidP="004B39AD">
      <w:pPr>
        <w:pStyle w:val="Listeafsnit"/>
        <w:numPr>
          <w:ilvl w:val="0"/>
          <w:numId w:val="6"/>
        </w:numPr>
        <w:ind w:left="284" w:hanging="284"/>
        <w:rPr>
          <w:b/>
          <w:bCs w:val="0"/>
        </w:rPr>
      </w:pPr>
      <w:r w:rsidRPr="00A36945">
        <w:rPr>
          <w:b/>
          <w:bCs w:val="0"/>
        </w:rPr>
        <w:lastRenderedPageBreak/>
        <w:t xml:space="preserve">Underretning til registrerede </w:t>
      </w:r>
    </w:p>
    <w:p w14:paraId="7E8DDAC1" w14:textId="77777777" w:rsidR="004B39AD" w:rsidRDefault="004B39AD" w:rsidP="004B39AD">
      <w:r>
        <w:t>Når et brud på persondatasikkerheden sandsynligvis vil indebære en høj risiko for den registreredes rettigheder, skal den registrerede underrettes om bruddet. Ved vurdering af risikoens omfang, lægges til grund, at jo mere alvorlige konsekvenser bruddet kan medføre, jo større vil risikoen være for de berørte personer. Tilsvarende vil en større sandsynlighed for, at et brud vil få konsekvenser for de registrerede ligeledes indebære en større risiko.</w:t>
      </w:r>
    </w:p>
    <w:p w14:paraId="230E2104" w14:textId="77777777" w:rsidR="004B39AD" w:rsidRPr="00FF0532" w:rsidRDefault="004B39AD" w:rsidP="004B39AD">
      <w:r w:rsidRPr="00FF0532">
        <w:t xml:space="preserve">Når man underretter de berørte personer, skal man som minimum: </w:t>
      </w:r>
    </w:p>
    <w:p w14:paraId="70156D71" w14:textId="74B4F57C" w:rsidR="004B39AD" w:rsidRPr="00FF0532" w:rsidRDefault="004B39AD" w:rsidP="004B39AD">
      <w:pPr>
        <w:pStyle w:val="Listeafsnit"/>
        <w:numPr>
          <w:ilvl w:val="0"/>
          <w:numId w:val="5"/>
        </w:numPr>
        <w:spacing w:after="160" w:line="259" w:lineRule="auto"/>
      </w:pPr>
      <w:r>
        <w:t>Angiv</w:t>
      </w:r>
      <w:r w:rsidRPr="00FF0532">
        <w:t xml:space="preserve"> navn på og kontaktoplysninger </w:t>
      </w:r>
      <w:r>
        <w:t>på én i lokalforeningen, som de kan henvende sig til for yderligere oplysninger.</w:t>
      </w:r>
    </w:p>
    <w:p w14:paraId="011483D6" w14:textId="77777777" w:rsidR="004B39AD" w:rsidRPr="00FF0532" w:rsidRDefault="004B39AD" w:rsidP="004B39AD">
      <w:pPr>
        <w:pStyle w:val="Listeafsnit"/>
        <w:numPr>
          <w:ilvl w:val="0"/>
          <w:numId w:val="5"/>
        </w:numPr>
        <w:spacing w:after="160" w:line="259" w:lineRule="auto"/>
      </w:pPr>
      <w:r w:rsidRPr="00FF0532">
        <w:t>Beskrive de sandsynlige konsekvenser af bruddet på persondatasikkerheden</w:t>
      </w:r>
      <w:r>
        <w:t>.</w:t>
      </w:r>
    </w:p>
    <w:p w14:paraId="0B125EEB" w14:textId="77777777" w:rsidR="004B39AD" w:rsidRDefault="004B39AD" w:rsidP="004B39AD">
      <w:pPr>
        <w:pStyle w:val="Listeafsnit"/>
        <w:numPr>
          <w:ilvl w:val="0"/>
          <w:numId w:val="5"/>
        </w:numPr>
        <w:spacing w:after="160" w:line="259" w:lineRule="auto"/>
      </w:pPr>
      <w:r w:rsidRPr="00FF0532">
        <w:t>Beskrive de foranstaltninger, som man har truffet for at håndtere bruddet på persondatasikkerheden. Herunder hvad man har gjort for at begrænse de mulige skadevirkninger</w:t>
      </w:r>
      <w:r>
        <w:t>.</w:t>
      </w:r>
    </w:p>
    <w:p w14:paraId="5AD01D5C" w14:textId="77777777" w:rsidR="004B39AD" w:rsidRPr="00DA17FE" w:rsidRDefault="004B39AD" w:rsidP="004B39AD">
      <w:pPr>
        <w:pStyle w:val="Listeafsnit"/>
        <w:spacing w:after="160" w:line="259" w:lineRule="auto"/>
      </w:pPr>
    </w:p>
    <w:p w14:paraId="7E4457D9" w14:textId="77777777" w:rsidR="004B39AD" w:rsidRPr="00A36945" w:rsidRDefault="004B39AD" w:rsidP="004B39AD">
      <w:pPr>
        <w:pStyle w:val="Listeafsnit"/>
        <w:numPr>
          <w:ilvl w:val="0"/>
          <w:numId w:val="6"/>
        </w:numPr>
        <w:ind w:left="284" w:hanging="284"/>
        <w:rPr>
          <w:b/>
          <w:bCs w:val="0"/>
        </w:rPr>
      </w:pPr>
      <w:r w:rsidRPr="00A36945">
        <w:rPr>
          <w:b/>
          <w:bCs w:val="0"/>
        </w:rPr>
        <w:t>Vurdér, hvordan vi undgår en lignende hændelse en anden gang</w:t>
      </w:r>
    </w:p>
    <w:p w14:paraId="1EEB298E" w14:textId="77777777" w:rsidR="004B39AD" w:rsidRDefault="004B39AD" w:rsidP="004B39AD">
      <w:r>
        <w:t xml:space="preserve">Der kan f.eks. vurderes følgende: </w:t>
      </w:r>
    </w:p>
    <w:p w14:paraId="3EA5E8E7" w14:textId="77777777" w:rsidR="004B39AD" w:rsidRDefault="004B39AD" w:rsidP="004B39AD">
      <w:pPr>
        <w:pStyle w:val="Listeafsnit"/>
        <w:numPr>
          <w:ilvl w:val="0"/>
          <w:numId w:val="3"/>
        </w:numPr>
      </w:pPr>
      <w:r>
        <w:t>Er der behov for tydeligere regler/procedurer på et givent område?</w:t>
      </w:r>
    </w:p>
    <w:p w14:paraId="7DE4C838" w14:textId="77777777" w:rsidR="004B39AD" w:rsidRDefault="004B39AD" w:rsidP="004B39AD">
      <w:pPr>
        <w:pStyle w:val="Listeafsnit"/>
        <w:numPr>
          <w:ilvl w:val="0"/>
          <w:numId w:val="3"/>
        </w:numPr>
      </w:pPr>
      <w:r>
        <w:t>Havde der ikke været tilstrækkeligt tilsyn med databehandler?</w:t>
      </w:r>
    </w:p>
    <w:p w14:paraId="4CE21889" w14:textId="0C92214F" w:rsidR="004B39AD" w:rsidRDefault="004B39AD" w:rsidP="004B39AD">
      <w:pPr>
        <w:pStyle w:val="Listeafsnit"/>
        <w:numPr>
          <w:ilvl w:val="0"/>
          <w:numId w:val="3"/>
        </w:numPr>
      </w:pPr>
      <w:r>
        <w:t>Agerede en frivillig i strid med procedurer?</w:t>
      </w:r>
    </w:p>
    <w:p w14:paraId="18D413EB" w14:textId="77777777" w:rsidR="004B39AD" w:rsidRDefault="004B39AD" w:rsidP="004B39AD"/>
    <w:p w14:paraId="1B0CD12D" w14:textId="77777777" w:rsidR="004B39AD" w:rsidRPr="00A36945" w:rsidRDefault="004B39AD" w:rsidP="004B39AD">
      <w:pPr>
        <w:pStyle w:val="Listeafsnit"/>
        <w:numPr>
          <w:ilvl w:val="0"/>
          <w:numId w:val="6"/>
        </w:numPr>
        <w:ind w:left="284" w:hanging="284"/>
        <w:rPr>
          <w:b/>
          <w:bCs w:val="0"/>
        </w:rPr>
      </w:pPr>
      <w:r w:rsidRPr="00A36945">
        <w:rPr>
          <w:b/>
          <w:bCs w:val="0"/>
        </w:rPr>
        <w:t xml:space="preserve">Beskriv og dokumenter forløbet </w:t>
      </w:r>
    </w:p>
    <w:p w14:paraId="3A946BE3" w14:textId="7063242D" w:rsidR="004B39AD" w:rsidRDefault="004B39AD" w:rsidP="004B39AD">
      <w:r w:rsidRPr="00A36945">
        <w:t xml:space="preserve">Gem notatet i </w:t>
      </w:r>
      <w:r>
        <w:t>GDPR-mappen på jeres OneDrive.</w:t>
      </w:r>
    </w:p>
    <w:p w14:paraId="17E7ED75" w14:textId="4A8B2B27" w:rsidR="00E35168" w:rsidRDefault="00E35168">
      <w:pPr>
        <w:spacing w:after="160" w:line="259" w:lineRule="auto"/>
        <w:rPr>
          <w:b/>
        </w:rPr>
      </w:pPr>
      <w:r>
        <w:rPr>
          <w:b/>
        </w:rPr>
        <w:br w:type="page"/>
      </w:r>
    </w:p>
    <w:p w14:paraId="5803453E" w14:textId="77777777" w:rsidR="00333CC2" w:rsidRDefault="00333CC2">
      <w:pPr>
        <w:rPr>
          <w:b/>
        </w:rPr>
      </w:pPr>
    </w:p>
    <w:p w14:paraId="60096057" w14:textId="4F88B4C1" w:rsidR="00E35168" w:rsidRDefault="004B39AD">
      <w:pPr>
        <w:rPr>
          <w:b/>
        </w:rPr>
      </w:pPr>
      <w:r w:rsidRPr="62D0F693">
        <w:rPr>
          <w:b/>
        </w:rPr>
        <w:t xml:space="preserve">Bilag – </w:t>
      </w:r>
      <w:proofErr w:type="spellStart"/>
      <w:r w:rsidRPr="62D0F693">
        <w:rPr>
          <w:b/>
        </w:rPr>
        <w:t>Flowchart</w:t>
      </w:r>
      <w:proofErr w:type="spellEnd"/>
      <w:r w:rsidRPr="62D0F693">
        <w:rPr>
          <w:b/>
        </w:rPr>
        <w:t xml:space="preserve"> fra Datatilsynets vejledning om databru</w:t>
      </w:r>
      <w:r w:rsidR="00E35168">
        <w:rPr>
          <w:b/>
        </w:rPr>
        <w:t>d</w:t>
      </w:r>
    </w:p>
    <w:p w14:paraId="3A24691D" w14:textId="77777777" w:rsidR="00E35168" w:rsidRDefault="00E35168">
      <w:pPr>
        <w:rPr>
          <w:b/>
        </w:rPr>
      </w:pPr>
    </w:p>
    <w:p w14:paraId="50F7A44F" w14:textId="2F45F63F" w:rsidR="00E35168" w:rsidRPr="00B3544E" w:rsidRDefault="00333CC2">
      <w:pPr>
        <w:rPr>
          <w:b/>
        </w:rPr>
      </w:pPr>
      <w:r>
        <w:rPr>
          <w:noProof/>
        </w:rPr>
        <w:drawing>
          <wp:inline distT="0" distB="0" distL="0" distR="0" wp14:anchorId="42AAF86D" wp14:editId="32DD21AC">
            <wp:extent cx="8289946" cy="5146096"/>
            <wp:effectExtent l="0" t="9207" r="6667" b="6668"/>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pic:nvPicPr>
                  <pic:blipFill>
                    <a:blip r:embed="rId9">
                      <a:extLst>
                        <a:ext uri="{28A0092B-C50C-407E-A947-70E740481C1C}">
                          <a14:useLocalDpi xmlns:a14="http://schemas.microsoft.com/office/drawing/2010/main" val="0"/>
                        </a:ext>
                      </a:extLst>
                    </a:blip>
                    <a:stretch>
                      <a:fillRect/>
                    </a:stretch>
                  </pic:blipFill>
                  <pic:spPr>
                    <a:xfrm rot="5400000">
                      <a:off x="0" y="0"/>
                      <a:ext cx="8294571" cy="5148967"/>
                    </a:xfrm>
                    <a:prstGeom prst="rect">
                      <a:avLst/>
                    </a:prstGeom>
                  </pic:spPr>
                </pic:pic>
              </a:graphicData>
            </a:graphic>
          </wp:inline>
        </w:drawing>
      </w:r>
    </w:p>
    <w:sectPr w:rsidR="00E35168" w:rsidRPr="00B3544E" w:rsidSect="00925134">
      <w:footerReference w:type="default" r:id="rId10"/>
      <w:footerReference w:type="first" r:id="rId11"/>
      <w:pgSz w:w="11906" w:h="16838" w:code="9"/>
      <w:pgMar w:top="902" w:right="2268" w:bottom="1985" w:left="1701" w:header="16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9805" w14:textId="77777777" w:rsidR="00144E3B" w:rsidRDefault="00144E3B">
      <w:pPr>
        <w:spacing w:line="240" w:lineRule="auto"/>
      </w:pPr>
      <w:r>
        <w:separator/>
      </w:r>
    </w:p>
  </w:endnote>
  <w:endnote w:type="continuationSeparator" w:id="0">
    <w:p w14:paraId="19B92BE8" w14:textId="77777777" w:rsidR="00144E3B" w:rsidRDefault="00144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A77C" w14:textId="77777777" w:rsidR="00925134" w:rsidRDefault="00B8414E" w:rsidP="00925134">
    <w:pPr>
      <w:pStyle w:val="Sidefod"/>
      <w:jc w:val="right"/>
    </w:pPr>
    <w:sdt>
      <w:sdtPr>
        <w:rPr>
          <w:rFonts w:ascii="Arial Narrow" w:hAnsi="Arial Narrow" w:cs="Arial"/>
        </w:rPr>
        <w:id w:val="860082579"/>
        <w:docPartObj>
          <w:docPartGallery w:val="Page Numbers (Top of Page)"/>
          <w:docPartUnique/>
        </w:docPartObj>
      </w:sdtPr>
      <w:sdtEndPr>
        <w:rPr>
          <w:rFonts w:ascii="Open Sans" w:hAnsi="Open Sans" w:cs="Open Sans"/>
        </w:rPr>
      </w:sdtEndPr>
      <w:sdtContent>
        <w:r w:rsidR="004B39AD" w:rsidRPr="00EB6AAD">
          <w:rPr>
            <w:rFonts w:ascii="Arial Narrow" w:hAnsi="Arial Narrow" w:cs="Arial"/>
          </w:rPr>
          <w:t xml:space="preserve">Side </w:t>
        </w:r>
        <w:r w:rsidR="004B39AD" w:rsidRPr="00925134">
          <w:rPr>
            <w:rFonts w:ascii="Arial Narrow" w:hAnsi="Arial Narrow" w:cs="Arial"/>
            <w:bCs w:val="0"/>
            <w:sz w:val="24"/>
          </w:rPr>
          <w:fldChar w:fldCharType="begin"/>
        </w:r>
        <w:r w:rsidR="004B39AD" w:rsidRPr="00925134">
          <w:rPr>
            <w:rFonts w:ascii="Arial Narrow" w:hAnsi="Arial Narrow" w:cs="Arial"/>
          </w:rPr>
          <w:instrText>PAGE</w:instrText>
        </w:r>
        <w:r w:rsidR="004B39AD" w:rsidRPr="00925134">
          <w:rPr>
            <w:rFonts w:ascii="Arial Narrow" w:hAnsi="Arial Narrow" w:cs="Arial"/>
            <w:bCs w:val="0"/>
            <w:sz w:val="24"/>
          </w:rPr>
          <w:fldChar w:fldCharType="separate"/>
        </w:r>
        <w:r w:rsidR="004B39AD">
          <w:rPr>
            <w:rFonts w:ascii="Arial Narrow" w:hAnsi="Arial Narrow" w:cs="Arial"/>
            <w:noProof/>
          </w:rPr>
          <w:t>1</w:t>
        </w:r>
        <w:r w:rsidR="004B39AD" w:rsidRPr="00925134">
          <w:rPr>
            <w:rFonts w:ascii="Arial Narrow" w:hAnsi="Arial Narrow" w:cs="Arial"/>
            <w:bCs w:val="0"/>
            <w:sz w:val="24"/>
          </w:rPr>
          <w:fldChar w:fldCharType="end"/>
        </w:r>
        <w:r w:rsidR="004B39AD" w:rsidRPr="00925134">
          <w:rPr>
            <w:rFonts w:ascii="Arial Narrow" w:hAnsi="Arial Narrow" w:cs="Arial"/>
          </w:rPr>
          <w:t xml:space="preserve"> af </w:t>
        </w:r>
        <w:r w:rsidR="004B39AD" w:rsidRPr="00925134">
          <w:rPr>
            <w:rFonts w:ascii="Arial Narrow" w:hAnsi="Arial Narrow" w:cs="Arial"/>
            <w:bCs w:val="0"/>
            <w:sz w:val="24"/>
          </w:rPr>
          <w:fldChar w:fldCharType="begin"/>
        </w:r>
        <w:r w:rsidR="004B39AD" w:rsidRPr="00925134">
          <w:rPr>
            <w:rFonts w:ascii="Arial Narrow" w:hAnsi="Arial Narrow" w:cs="Arial"/>
          </w:rPr>
          <w:instrText>NUMPAGES</w:instrText>
        </w:r>
        <w:r w:rsidR="004B39AD" w:rsidRPr="00925134">
          <w:rPr>
            <w:rFonts w:ascii="Arial Narrow" w:hAnsi="Arial Narrow" w:cs="Arial"/>
            <w:bCs w:val="0"/>
            <w:sz w:val="24"/>
          </w:rPr>
          <w:fldChar w:fldCharType="separate"/>
        </w:r>
        <w:r w:rsidR="004B39AD">
          <w:rPr>
            <w:rFonts w:ascii="Arial Narrow" w:hAnsi="Arial Narrow" w:cs="Arial"/>
            <w:noProof/>
          </w:rPr>
          <w:t>1</w:t>
        </w:r>
        <w:r w:rsidR="004B39AD" w:rsidRPr="00925134">
          <w:rPr>
            <w:rFonts w:ascii="Arial Narrow" w:hAnsi="Arial Narrow" w:cs="Arial"/>
            <w:bCs w:val="0"/>
            <w:sz w:val="24"/>
          </w:rPr>
          <w:fldChar w:fldCharType="end"/>
        </w:r>
      </w:sdtContent>
    </w:sdt>
  </w:p>
  <w:p w14:paraId="1F0B450C" w14:textId="77777777" w:rsidR="00127083" w:rsidRDefault="00B8414E">
    <w:pPr>
      <w:pStyle w:val="Sidefod"/>
      <w:jc w:val="right"/>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97FF" w14:textId="77777777" w:rsidR="00EB6AAD" w:rsidRDefault="00B8414E">
    <w:pPr>
      <w:pStyle w:val="Sidefod"/>
      <w:jc w:val="right"/>
    </w:pPr>
  </w:p>
  <w:p w14:paraId="71B1F3B7" w14:textId="77777777" w:rsidR="00EB6AAD" w:rsidRDefault="00B8414E" w:rsidP="00EB6AAD">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9F9C" w14:textId="77777777" w:rsidR="00144E3B" w:rsidRDefault="00144E3B">
      <w:pPr>
        <w:spacing w:line="240" w:lineRule="auto"/>
      </w:pPr>
      <w:r>
        <w:separator/>
      </w:r>
    </w:p>
  </w:footnote>
  <w:footnote w:type="continuationSeparator" w:id="0">
    <w:p w14:paraId="24046F13" w14:textId="77777777" w:rsidR="00144E3B" w:rsidRDefault="00144E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05F"/>
    <w:multiLevelType w:val="hybridMultilevel"/>
    <w:tmpl w:val="03F670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100E42"/>
    <w:multiLevelType w:val="hybridMultilevel"/>
    <w:tmpl w:val="6CF20A18"/>
    <w:lvl w:ilvl="0" w:tplc="E70A21E4">
      <w:start w:val="12"/>
      <w:numFmt w:val="bullet"/>
      <w:lvlText w:val="-"/>
      <w:lvlJc w:val="left"/>
      <w:pPr>
        <w:ind w:left="720" w:hanging="360"/>
      </w:pPr>
      <w:rPr>
        <w:rFonts w:ascii="Calibri" w:eastAsiaTheme="minorHAnsi" w:hAnsi="Calibri" w:cs="Calibri" w:hint="default"/>
      </w:rPr>
    </w:lvl>
    <w:lvl w:ilvl="1" w:tplc="0406000F">
      <w:start w:val="1"/>
      <w:numFmt w:val="decimal"/>
      <w:lvlText w:val="%2."/>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20321F"/>
    <w:multiLevelType w:val="hybridMultilevel"/>
    <w:tmpl w:val="2AE032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A27C73"/>
    <w:multiLevelType w:val="hybridMultilevel"/>
    <w:tmpl w:val="3FA88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320E61"/>
    <w:multiLevelType w:val="hybridMultilevel"/>
    <w:tmpl w:val="9A1EF1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A471338"/>
    <w:multiLevelType w:val="hybridMultilevel"/>
    <w:tmpl w:val="04B271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2504822">
    <w:abstractNumId w:val="1"/>
  </w:num>
  <w:num w:numId="2" w16cid:durableId="2108648156">
    <w:abstractNumId w:val="2"/>
  </w:num>
  <w:num w:numId="3" w16cid:durableId="1188175087">
    <w:abstractNumId w:val="4"/>
  </w:num>
  <w:num w:numId="4" w16cid:durableId="687214660">
    <w:abstractNumId w:val="3"/>
  </w:num>
  <w:num w:numId="5" w16cid:durableId="1122846877">
    <w:abstractNumId w:val="5"/>
  </w:num>
  <w:num w:numId="6" w16cid:durableId="16105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AD"/>
    <w:rsid w:val="000072F8"/>
    <w:rsid w:val="000469CB"/>
    <w:rsid w:val="00144E3B"/>
    <w:rsid w:val="001A00BF"/>
    <w:rsid w:val="002E1540"/>
    <w:rsid w:val="00333CC2"/>
    <w:rsid w:val="0037459C"/>
    <w:rsid w:val="003A3DA6"/>
    <w:rsid w:val="004B39AD"/>
    <w:rsid w:val="004B6F57"/>
    <w:rsid w:val="004F49F3"/>
    <w:rsid w:val="00576B48"/>
    <w:rsid w:val="005E7D92"/>
    <w:rsid w:val="00857A9F"/>
    <w:rsid w:val="008626BC"/>
    <w:rsid w:val="00AB1806"/>
    <w:rsid w:val="00B3544E"/>
    <w:rsid w:val="00B8384F"/>
    <w:rsid w:val="00DE07A6"/>
    <w:rsid w:val="00E35168"/>
    <w:rsid w:val="00E71874"/>
    <w:rsid w:val="00EE3DAF"/>
    <w:rsid w:val="00FB158C"/>
    <w:rsid w:val="00FE7A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366"/>
  <w15:chartTrackingRefBased/>
  <w15:docId w15:val="{45840256-607D-423A-A6CD-14D55FF0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AD"/>
    <w:pPr>
      <w:spacing w:after="0" w:line="280" w:lineRule="atLeast"/>
    </w:pPr>
    <w:rPr>
      <w:rFonts w:ascii="Open Sans" w:eastAsia="Times New Roman" w:hAnsi="Open Sans" w:cs="Open Sans"/>
      <w:bCs/>
      <w:iCs/>
      <w:sz w:val="19"/>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4B39AD"/>
    <w:pPr>
      <w:tabs>
        <w:tab w:val="center" w:pos="4819"/>
        <w:tab w:val="right" w:pos="9638"/>
      </w:tabs>
    </w:pPr>
  </w:style>
  <w:style w:type="character" w:customStyle="1" w:styleId="SidefodTegn">
    <w:name w:val="Sidefod Tegn"/>
    <w:basedOn w:val="Standardskrifttypeiafsnit"/>
    <w:link w:val="Sidefod"/>
    <w:uiPriority w:val="99"/>
    <w:rsid w:val="004B39AD"/>
    <w:rPr>
      <w:rFonts w:ascii="Open Sans" w:eastAsia="Times New Roman" w:hAnsi="Open Sans" w:cs="Open Sans"/>
      <w:bCs/>
      <w:iCs/>
      <w:sz w:val="19"/>
      <w:szCs w:val="20"/>
      <w:lang w:eastAsia="da-DK"/>
    </w:rPr>
  </w:style>
  <w:style w:type="paragraph" w:customStyle="1" w:styleId="Afsender">
    <w:name w:val="Afsender"/>
    <w:basedOn w:val="Normal"/>
    <w:rsid w:val="004B39AD"/>
    <w:pPr>
      <w:spacing w:line="240" w:lineRule="auto"/>
    </w:pPr>
    <w:rPr>
      <w:rFonts w:ascii="Arial Narrow" w:hAnsi="Arial Narrow"/>
      <w:sz w:val="16"/>
    </w:rPr>
  </w:style>
  <w:style w:type="table" w:styleId="Tabel-Enkelt2">
    <w:name w:val="Table Simple 2"/>
    <w:basedOn w:val="Tabel-Normal"/>
    <w:rsid w:val="004B39AD"/>
    <w:pPr>
      <w:spacing w:after="0" w:line="280" w:lineRule="atLeast"/>
    </w:pPr>
    <w:rPr>
      <w:rFonts w:ascii="Open Sans" w:eastAsia="Times New Roman" w:hAnsi="Open Sans" w:cs="Open Sans"/>
      <w:bCs/>
      <w:iCs/>
      <w:sz w:val="19"/>
      <w:szCs w:val="20"/>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eafsnit">
    <w:name w:val="List Paragraph"/>
    <w:basedOn w:val="Normal"/>
    <w:uiPriority w:val="34"/>
    <w:qFormat/>
    <w:rsid w:val="004B39AD"/>
    <w:pPr>
      <w:ind w:left="720"/>
      <w:contextualSpacing/>
    </w:pPr>
  </w:style>
  <w:style w:type="character" w:styleId="Hyperlink">
    <w:name w:val="Hyperlink"/>
    <w:basedOn w:val="Standardskrifttypeiafsnit"/>
    <w:unhideWhenUsed/>
    <w:rsid w:val="004B39AD"/>
    <w:rPr>
      <w:color w:val="5ABA63" w:themeColor="hyperlink"/>
      <w:u w:val="single"/>
    </w:rPr>
  </w:style>
  <w:style w:type="character" w:styleId="Ulstomtale">
    <w:name w:val="Unresolved Mention"/>
    <w:basedOn w:val="Standardskrifttypeiafsnit"/>
    <w:uiPriority w:val="99"/>
    <w:semiHidden/>
    <w:unhideWhenUsed/>
    <w:rsid w:val="00FE7ABD"/>
    <w:rPr>
      <w:color w:val="605E5C"/>
      <w:shd w:val="clear" w:color="auto" w:fill="E1DFDD"/>
    </w:rPr>
  </w:style>
  <w:style w:type="character" w:styleId="BesgtLink">
    <w:name w:val="FollowedHyperlink"/>
    <w:basedOn w:val="Standardskrifttypeiafsnit"/>
    <w:uiPriority w:val="99"/>
    <w:semiHidden/>
    <w:unhideWhenUsed/>
    <w:rsid w:val="001A00BF"/>
    <w:rPr>
      <w:color w:val="5ABA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tilsynet.dk/sikkerhedsbrud/anmeld-sikkerhedsbru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Brugerdefineret 2">
      <a:dk1>
        <a:srgbClr val="5ABA63"/>
      </a:dk1>
      <a:lt1>
        <a:srgbClr val="5ABA63"/>
      </a:lt1>
      <a:dk2>
        <a:srgbClr val="5ABA63"/>
      </a:dk2>
      <a:lt2>
        <a:srgbClr val="5ABA63"/>
      </a:lt2>
      <a:accent1>
        <a:srgbClr val="5ABA63"/>
      </a:accent1>
      <a:accent2>
        <a:srgbClr val="5ABA63"/>
      </a:accent2>
      <a:accent3>
        <a:srgbClr val="5ABA63"/>
      </a:accent3>
      <a:accent4>
        <a:srgbClr val="5ABA63"/>
      </a:accent4>
      <a:accent5>
        <a:srgbClr val="5ABA63"/>
      </a:accent5>
      <a:accent6>
        <a:srgbClr val="5ABA63"/>
      </a:accent6>
      <a:hlink>
        <a:srgbClr val="5ABA63"/>
      </a:hlink>
      <a:folHlink>
        <a:srgbClr val="5ABA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799</Words>
  <Characters>4875</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Strandsberg Sørensen</dc:creator>
  <cp:keywords/>
  <dc:description/>
  <cp:lastModifiedBy>Helena Strandsberg Sørensen</cp:lastModifiedBy>
  <cp:revision>22</cp:revision>
  <cp:lastPrinted>2022-12-13T13:37:00Z</cp:lastPrinted>
  <dcterms:created xsi:type="dcterms:W3CDTF">2022-12-07T09:48:00Z</dcterms:created>
  <dcterms:modified xsi:type="dcterms:W3CDTF">2022-12-13T13:37:00Z</dcterms:modified>
</cp:coreProperties>
</file>